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20" w:rsidRPr="006C3920" w:rsidRDefault="006C3920" w:rsidP="006C392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C3920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Sylabus v EN (kurz je vyučován v EN):</w:t>
      </w:r>
    </w:p>
    <w:p w:rsidR="006C3920" w:rsidRPr="006C3920" w:rsidRDefault="006C3920" w:rsidP="006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4284"/>
      </w:tblGrid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code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2PR417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title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language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instruction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EPSO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Preparation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title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in Czech: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Přípravný kurz na testy EPSO - anglicky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title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English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EPSO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Preparation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Number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ECTS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credits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allocated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(1 ECTS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credit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= 26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hours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workload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Mode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delivery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full-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; 0/2 (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hours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lectures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per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week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hours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seminars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per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week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as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semestral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Mode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completion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graded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Language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instruction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English</w:t>
            </w:r>
            <w:proofErr w:type="spellEnd"/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Level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year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study: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master (second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cycle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): 4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Semester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SS 2016/2017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Name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lecturer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(s):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hyperlink r:id="rId6" w:tgtFrame="_blank" w:history="1">
              <w:r w:rsidRPr="006C39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cs-CZ"/>
                </w:rPr>
                <w:t>JUDr. Nicole Grmelová, Ph.D.</w:t>
              </w:r>
            </w:hyperlink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(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examiner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instructor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lecturer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supervisor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Prerequisites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and co-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requisites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none</w:t>
            </w:r>
            <w:proofErr w:type="spellEnd"/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Recommended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optional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programme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components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none</w:t>
            </w:r>
            <w:proofErr w:type="spellEnd"/>
          </w:p>
        </w:tc>
      </w:tr>
      <w:tr w:rsidR="006C3920" w:rsidRPr="006C3920" w:rsidTr="006C392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placement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none</w:t>
            </w:r>
            <w:proofErr w:type="spellEnd"/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Aims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This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optional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have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opportunity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practice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which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are part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open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competitions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organized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by EPSO (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European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Personnel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Selection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Office) in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order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become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EU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officials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train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individual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steps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selection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procedure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reduced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groups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they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obtain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feedback on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their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performance.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Also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get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acquainted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legal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status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EU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officials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under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EU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Staff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Regulation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stresses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soft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skills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including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theories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methods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developed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human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resources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specialists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Learning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outcomes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competences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Having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completed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able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distinguish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different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working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EU (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officials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temporary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agents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contract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agents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 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acquainted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EU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Staff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Regulations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improve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their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analytical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skills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improve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their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oral and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written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communication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skills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topics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related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EU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affairs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obtain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information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internal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functioning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EU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bodies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institutions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 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which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crucial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succeeding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 EPSO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Students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able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elaborate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their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skills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related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- to team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resilience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proposing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alternative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ways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solving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problems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linked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EU agenda.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Course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contents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8718"/>
            </w:tblGrid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Working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for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the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EU: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contract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agents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temporary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agents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officials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seconded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national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experts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Legal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status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EU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officials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CBT 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Computer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Based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tests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) I: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Verbal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Reasoning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CBT II: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Numerical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Reasoning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.</w:t>
                  </w:r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CBT III: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Abstract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Reasoning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.</w:t>
                  </w:r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CBT IV: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Situational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Judgment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Test.</w:t>
                  </w:r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E-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tray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I</w:t>
                  </w:r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E-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tray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II</w:t>
                  </w:r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Group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Exercise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Presentation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Interview</w:t>
                  </w:r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Reserve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list -- validity;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lobbying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for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a post</w:t>
                  </w:r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Final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test</w:t>
                  </w:r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(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allowance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0/2)</w:t>
                  </w:r>
                </w:p>
              </w:tc>
            </w:tr>
          </w:tbl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Learning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activities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teaching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methods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workload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hours</w:t>
            </w:r>
            <w:proofErr w:type="spellEnd"/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):</w:t>
            </w: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3"/>
              <w:gridCol w:w="1009"/>
            </w:tblGrid>
            <w:tr w:rsidR="006C3920" w:rsidRPr="006C3920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Type </w:t>
                  </w:r>
                  <w:proofErr w:type="spellStart"/>
                  <w:r w:rsidRPr="006C39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6C39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teaching</w:t>
                  </w:r>
                  <w:proofErr w:type="spellEnd"/>
                  <w:r w:rsidRPr="006C39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method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39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Daily</w:t>
                  </w:r>
                  <w:proofErr w:type="spellEnd"/>
                  <w:r w:rsidRPr="006C39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attendance</w:t>
                  </w:r>
                  <w:proofErr w:type="spellEnd"/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Attendance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at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seminars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/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workshops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/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tutorials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26 h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Preparation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for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seminars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/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workshops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/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tutorials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26 h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Preparation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for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final</w:t>
                  </w:r>
                  <w:proofErr w:type="spellEnd"/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test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26 h</w:t>
                  </w:r>
                </w:p>
              </w:tc>
            </w:tr>
            <w:tr w:rsidR="006C3920" w:rsidRPr="006C39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Total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  <w:hideMark/>
                </w:tcPr>
                <w:p w:rsidR="006C3920" w:rsidRPr="006C3920" w:rsidRDefault="006C3920" w:rsidP="006C39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C39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78 h</w:t>
                  </w:r>
                </w:p>
              </w:tc>
            </w:tr>
          </w:tbl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C3920" w:rsidRPr="006C3920" w:rsidTr="006C39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3920" w:rsidRPr="006C3920" w:rsidRDefault="006C3920" w:rsidP="006C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6C3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Schedule</w:t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21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March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28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March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11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April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18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April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2017,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room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NB 474, 9 AM-4 PM (Žižkov </w:t>
            </w:r>
            <w:proofErr w:type="spellStart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Campus</w:t>
            </w:r>
            <w:proofErr w:type="spellEnd"/>
            <w:r w:rsidRPr="006C3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</w:tbl>
    <w:p w:rsidR="006C3920" w:rsidRPr="006C3920" w:rsidRDefault="006C3920" w:rsidP="006C3920">
      <w:bookmarkStart w:id="0" w:name="_GoBack"/>
      <w:bookmarkEnd w:id="0"/>
    </w:p>
    <w:sectPr w:rsidR="006C3920" w:rsidRPr="006C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DB679E1"/>
    <w:multiLevelType w:val="hybridMultilevel"/>
    <w:tmpl w:val="E744A348"/>
    <w:lvl w:ilvl="0" w:tplc="6DA26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02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43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CA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CE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0AD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8E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4B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EE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A1353F"/>
    <w:multiLevelType w:val="hybridMultilevel"/>
    <w:tmpl w:val="DCB8F9DC"/>
    <w:lvl w:ilvl="0" w:tplc="F53A5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0A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EC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C8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87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22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E0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EC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FC9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20"/>
    <w:rsid w:val="000B62EE"/>
    <w:rsid w:val="000D0A40"/>
    <w:rsid w:val="00121059"/>
    <w:rsid w:val="00140141"/>
    <w:rsid w:val="00337D56"/>
    <w:rsid w:val="0039245C"/>
    <w:rsid w:val="003D573D"/>
    <w:rsid w:val="00427EE7"/>
    <w:rsid w:val="0043717E"/>
    <w:rsid w:val="00492DC7"/>
    <w:rsid w:val="00586452"/>
    <w:rsid w:val="00655816"/>
    <w:rsid w:val="00695174"/>
    <w:rsid w:val="006C3920"/>
    <w:rsid w:val="006D537A"/>
    <w:rsid w:val="00835DA3"/>
    <w:rsid w:val="008B4F7A"/>
    <w:rsid w:val="00912724"/>
    <w:rsid w:val="009174C0"/>
    <w:rsid w:val="00971C75"/>
    <w:rsid w:val="00A00DD5"/>
    <w:rsid w:val="00A83019"/>
    <w:rsid w:val="00C443BD"/>
    <w:rsid w:val="00D53982"/>
    <w:rsid w:val="00D56402"/>
    <w:rsid w:val="00D61747"/>
    <w:rsid w:val="00DC48A1"/>
    <w:rsid w:val="00DF0205"/>
    <w:rsid w:val="00DF2FD7"/>
    <w:rsid w:val="00DF633B"/>
    <w:rsid w:val="00E37789"/>
    <w:rsid w:val="00E85552"/>
    <w:rsid w:val="00EB2F10"/>
    <w:rsid w:val="00EB5F54"/>
    <w:rsid w:val="00EC4DF6"/>
    <w:rsid w:val="00EF5A67"/>
    <w:rsid w:val="00F41105"/>
    <w:rsid w:val="00FC6172"/>
    <w:rsid w:val="00FD6F70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9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392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C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2797206111556555997m9095188610584246590xnowrap">
    <w:name w:val="m_-2797206111556555997m_9095188610584246590x_nowrap"/>
    <w:basedOn w:val="Standardnpsmoodstavce"/>
    <w:rsid w:val="006C3920"/>
  </w:style>
  <w:style w:type="character" w:styleId="Hypertextovodkaz">
    <w:name w:val="Hyperlink"/>
    <w:basedOn w:val="Standardnpsmoodstavce"/>
    <w:uiPriority w:val="99"/>
    <w:semiHidden/>
    <w:unhideWhenUsed/>
    <w:rsid w:val="006C392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C3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9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392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C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2797206111556555997m9095188610584246590xnowrap">
    <w:name w:val="m_-2797206111556555997m_9095188610584246590x_nowrap"/>
    <w:basedOn w:val="Standardnpsmoodstavce"/>
    <w:rsid w:val="006C3920"/>
  </w:style>
  <w:style w:type="character" w:styleId="Hypertextovodkaz">
    <w:name w:val="Hyperlink"/>
    <w:basedOn w:val="Standardnpsmoodstavce"/>
    <w:uiPriority w:val="99"/>
    <w:semiHidden/>
    <w:unhideWhenUsed/>
    <w:rsid w:val="006C392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C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s.vse.cz/auth/lide/clovek.pl?id=200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Jůzová</dc:creator>
  <cp:lastModifiedBy>Jůzová</cp:lastModifiedBy>
  <cp:revision>1</cp:revision>
  <dcterms:created xsi:type="dcterms:W3CDTF">2017-02-17T22:11:00Z</dcterms:created>
  <dcterms:modified xsi:type="dcterms:W3CDTF">2017-02-17T22:49:00Z</dcterms:modified>
</cp:coreProperties>
</file>